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0" w:rsidRDefault="00BC4B60" w:rsidP="00E52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20" w:rsidRPr="00E52867" w:rsidRDefault="002440AA" w:rsidP="00E52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</w:t>
      </w:r>
    </w:p>
    <w:p w:rsidR="00E7125C" w:rsidRDefault="002440AA" w:rsidP="00E528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="00867595" w:rsidRPr="00E52867">
        <w:rPr>
          <w:rFonts w:ascii="Times New Roman" w:hAnsi="Times New Roman" w:cs="Times New Roman"/>
          <w:b/>
          <w:sz w:val="28"/>
          <w:szCs w:val="28"/>
        </w:rPr>
        <w:t>1 полугодие 2013</w:t>
      </w:r>
      <w:r w:rsidRPr="00E528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67595" w:rsidRPr="00E52867">
        <w:rPr>
          <w:rFonts w:ascii="Times New Roman" w:hAnsi="Times New Roman" w:cs="Times New Roman"/>
          <w:b/>
          <w:sz w:val="28"/>
          <w:szCs w:val="28"/>
        </w:rPr>
        <w:t>а</w:t>
      </w:r>
    </w:p>
    <w:p w:rsidR="00EE7520" w:rsidRDefault="00064EDF" w:rsidP="00E52867">
      <w:pPr>
        <w:tabs>
          <w:tab w:val="left" w:pos="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867">
        <w:rPr>
          <w:rFonts w:ascii="Times New Roman" w:hAnsi="Times New Roman" w:cs="Times New Roman"/>
          <w:sz w:val="28"/>
          <w:szCs w:val="28"/>
        </w:rPr>
        <w:tab/>
      </w:r>
    </w:p>
    <w:p w:rsidR="00064EDF" w:rsidRDefault="00735F36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полугодие 2013 года на имя главы администрации муниципального района поступило 260 обращений граждан, из них 34 обращения рассмотрено в ходе личного приёма, 175 вопросов задано на выездных встречах с населен</w:t>
      </w:r>
      <w:r w:rsidR="00B43703">
        <w:rPr>
          <w:rFonts w:ascii="Times New Roman" w:hAnsi="Times New Roman" w:cs="Times New Roman"/>
          <w:sz w:val="28"/>
          <w:szCs w:val="28"/>
        </w:rPr>
        <w:t>ием и 51 письменное обращение, э</w:t>
      </w:r>
      <w:r>
        <w:rPr>
          <w:rFonts w:ascii="Times New Roman" w:hAnsi="Times New Roman" w:cs="Times New Roman"/>
          <w:sz w:val="28"/>
          <w:szCs w:val="28"/>
        </w:rPr>
        <w:t xml:space="preserve">то на 146 обращений больше, чем за аналогичный период 2012 года (22 человека было принято на личном приёме, 27 вопросов задано на выездных встречах с населением района и </w:t>
      </w:r>
      <w:r w:rsidR="00400CEA">
        <w:rPr>
          <w:rFonts w:ascii="Times New Roman" w:hAnsi="Times New Roman" w:cs="Times New Roman"/>
          <w:sz w:val="28"/>
          <w:szCs w:val="28"/>
        </w:rPr>
        <w:t xml:space="preserve">65 поступивших письменных обращений граждан). </w:t>
      </w:r>
    </w:p>
    <w:p w:rsidR="0062435D" w:rsidRDefault="00B43703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4B60" w:rsidRPr="004E3013" w:rsidRDefault="00BC4B60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435D" w:rsidRPr="00E52867" w:rsidRDefault="0062435D" w:rsidP="0062435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Динамика поступления письменных обращений</w:t>
      </w:r>
    </w:p>
    <w:p w:rsidR="0062435D" w:rsidRPr="00E52867" w:rsidRDefault="0062435D" w:rsidP="001652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за 1-ое полугодие 2011 - 2013 годов</w:t>
      </w:r>
    </w:p>
    <w:p w:rsidR="006B675A" w:rsidRDefault="0062435D" w:rsidP="00365A6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83050" cy="122301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4B60" w:rsidRDefault="003C44B2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6A70" w:rsidRDefault="00BC4B60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4B2">
        <w:rPr>
          <w:rFonts w:ascii="Times New Roman" w:hAnsi="Times New Roman" w:cs="Times New Roman"/>
          <w:sz w:val="28"/>
          <w:szCs w:val="28"/>
        </w:rPr>
        <w:t xml:space="preserve">Коллективных обращений за 6 месяцев текущего года увеличилось на 5 (33 % от общего количества обращений) по сравнению с аналогичным периодом прошлого года (2012 год – 12). </w:t>
      </w:r>
      <w:r w:rsidR="00FC2454">
        <w:rPr>
          <w:rFonts w:ascii="Times New Roman" w:hAnsi="Times New Roman" w:cs="Times New Roman"/>
          <w:sz w:val="28"/>
          <w:szCs w:val="28"/>
        </w:rPr>
        <w:t xml:space="preserve"> </w:t>
      </w:r>
      <w:r w:rsidR="00DA6A70">
        <w:rPr>
          <w:rFonts w:ascii="Times New Roman" w:hAnsi="Times New Roman" w:cs="Times New Roman"/>
          <w:sz w:val="28"/>
          <w:szCs w:val="28"/>
        </w:rPr>
        <w:tab/>
      </w:r>
    </w:p>
    <w:p w:rsidR="00BC4B60" w:rsidRPr="00BC4B60" w:rsidRDefault="00BC4B60" w:rsidP="00F419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F419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По населенным пунктам почта распределяется следующим образом:</w:t>
      </w:r>
    </w:p>
    <w:p w:rsidR="00BC4B60" w:rsidRPr="00BC4B60" w:rsidRDefault="00BC4B60" w:rsidP="00F419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6487"/>
        <w:gridCol w:w="1559"/>
        <w:gridCol w:w="1559"/>
      </w:tblGrid>
      <w:tr w:rsidR="00365A62" w:rsidTr="00BC4B60">
        <w:trPr>
          <w:trHeight w:val="797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A6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jc w:val="center"/>
              <w:rPr>
                <w:b/>
              </w:rPr>
            </w:pPr>
            <w:r w:rsidRPr="00365A62">
              <w:rPr>
                <w:rFonts w:ascii="Times New Roman" w:hAnsi="Times New Roman" w:cs="Times New Roman"/>
                <w:b/>
                <w:sz w:val="24"/>
                <w:szCs w:val="28"/>
              </w:rPr>
              <w:t>1 полугодие 2013 года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jc w:val="center"/>
              <w:rPr>
                <w:b/>
              </w:rPr>
            </w:pPr>
            <w:r w:rsidRPr="00365A62">
              <w:rPr>
                <w:rFonts w:ascii="Times New Roman" w:hAnsi="Times New Roman" w:cs="Times New Roman"/>
                <w:b/>
                <w:sz w:val="24"/>
                <w:szCs w:val="28"/>
              </w:rPr>
              <w:t>1 полугодие 2012 года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Смидовичско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5A62" w:rsidTr="00BC4B60">
        <w:trPr>
          <w:trHeight w:val="411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Приамурско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Волочаевско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Волочаевско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Камышовско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5A62" w:rsidTr="00BC4B60">
        <w:trPr>
          <w:trHeight w:val="411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11FCD" w:rsidRDefault="00C11FCD" w:rsidP="00C11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ED0" w:rsidRDefault="005B41F5" w:rsidP="00BC4B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60" w:rsidRDefault="00BC4B60" w:rsidP="00BC4B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A03" w:rsidRDefault="007C2A03" w:rsidP="00C11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CEA" w:rsidRDefault="00C70539" w:rsidP="004D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поступивших </w:t>
      </w:r>
      <w:r w:rsidR="00502A42">
        <w:rPr>
          <w:rFonts w:ascii="Times New Roman" w:hAnsi="Times New Roman" w:cs="Times New Roman"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>обращений по тематическим рубрикам отражен в таблице:</w:t>
      </w:r>
      <w:r w:rsidR="00C11FC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0" w:type="dxa"/>
        <w:tblLayout w:type="fixed"/>
        <w:tblLook w:val="04A0"/>
      </w:tblPr>
      <w:tblGrid>
        <w:gridCol w:w="5326"/>
        <w:gridCol w:w="2084"/>
        <w:gridCol w:w="2080"/>
      </w:tblGrid>
      <w:tr w:rsidR="002A4E4C" w:rsidTr="002A4E4C">
        <w:trPr>
          <w:trHeight w:val="923"/>
        </w:trPr>
        <w:tc>
          <w:tcPr>
            <w:tcW w:w="5326" w:type="dxa"/>
            <w:vAlign w:val="center"/>
          </w:tcPr>
          <w:p w:rsidR="002A4E4C" w:rsidRPr="004904A0" w:rsidRDefault="002A4E4C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</w:t>
            </w:r>
          </w:p>
        </w:tc>
        <w:tc>
          <w:tcPr>
            <w:tcW w:w="2084" w:type="dxa"/>
            <w:vAlign w:val="center"/>
          </w:tcPr>
          <w:p w:rsidR="002A4E4C" w:rsidRPr="004904A0" w:rsidRDefault="002A4E4C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 w:val="24"/>
                <w:szCs w:val="24"/>
              </w:rPr>
              <w:t>1 полугодие 2013 года</w:t>
            </w:r>
          </w:p>
          <w:p w:rsidR="002A4E4C" w:rsidRPr="004904A0" w:rsidRDefault="002A4E4C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80" w:type="dxa"/>
            <w:vAlign w:val="center"/>
          </w:tcPr>
          <w:p w:rsidR="002A4E4C" w:rsidRPr="004904A0" w:rsidRDefault="002A4E4C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 w:val="24"/>
                <w:szCs w:val="24"/>
              </w:rPr>
              <w:t>1 полугодие 2012 года</w:t>
            </w:r>
          </w:p>
          <w:p w:rsidR="002A4E4C" w:rsidRPr="004904A0" w:rsidRDefault="002A4E4C" w:rsidP="0087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энергоснабжения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E4C" w:rsidTr="002A4E4C">
        <w:trPr>
          <w:trHeight w:val="325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социального обеспечения граждан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4904A0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начисления и перерасчёта пенсии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Default="002A4E4C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084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2A4E4C" w:rsidRPr="004904A0" w:rsidRDefault="002A4E4C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4E4C" w:rsidTr="002A4E4C">
        <w:trPr>
          <w:trHeight w:val="306"/>
        </w:trPr>
        <w:tc>
          <w:tcPr>
            <w:tcW w:w="5326" w:type="dxa"/>
          </w:tcPr>
          <w:p w:rsidR="002A4E4C" w:rsidRPr="00311DD7" w:rsidRDefault="002A4E4C" w:rsidP="00C11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4" w:type="dxa"/>
          </w:tcPr>
          <w:p w:rsidR="002A4E4C" w:rsidRPr="00311DD7" w:rsidRDefault="002A4E4C" w:rsidP="002A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0" w:type="dxa"/>
          </w:tcPr>
          <w:p w:rsidR="002A4E4C" w:rsidRPr="00311DD7" w:rsidRDefault="002A4E4C" w:rsidP="002A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502A42" w:rsidRDefault="00502A42" w:rsidP="00C11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CD" w:rsidRDefault="008B1CEA" w:rsidP="006F29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организационно-контрольным отделом меры позволяют в целом обеспечивать выполнение установленных Федеральным законом от 02.05.2006 года №59-ФЗ «О порядке рассмотрения обращений граждан Российской Федерации» сроков рассмотрения обращений граждан.</w:t>
      </w:r>
    </w:p>
    <w:p w:rsidR="008B1CEA" w:rsidRDefault="008B1CEA" w:rsidP="006F29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15 дней рассмотрено – </w:t>
      </w:r>
      <w:r w:rsidR="003F1449">
        <w:rPr>
          <w:rFonts w:ascii="Times New Roman" w:hAnsi="Times New Roman" w:cs="Times New Roman"/>
          <w:sz w:val="28"/>
          <w:szCs w:val="28"/>
        </w:rPr>
        <w:t>27 письменных обращений;</w:t>
      </w:r>
    </w:p>
    <w:p w:rsidR="008B1CEA" w:rsidRDefault="008B1CEA" w:rsidP="006F29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30 дней – </w:t>
      </w:r>
      <w:r w:rsidR="003F1449">
        <w:rPr>
          <w:rFonts w:ascii="Times New Roman" w:hAnsi="Times New Roman" w:cs="Times New Roman"/>
          <w:sz w:val="28"/>
          <w:szCs w:val="28"/>
        </w:rPr>
        <w:t>24 обращения.</w:t>
      </w:r>
    </w:p>
    <w:p w:rsidR="00ED4F2F" w:rsidRDefault="00D75499" w:rsidP="004D7E1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сроков рассмотрения обращений за 6 месяцев 2013 года нет. </w:t>
      </w:r>
      <w:proofErr w:type="gramStart"/>
      <w:r w:rsidR="00ED4F2F">
        <w:rPr>
          <w:rFonts w:ascii="Times New Roman" w:hAnsi="Times New Roman" w:cs="Times New Roman"/>
          <w:sz w:val="28"/>
          <w:szCs w:val="28"/>
        </w:rPr>
        <w:t>Все письма, пришедшие на имя главы муниципального района не оставлены</w:t>
      </w:r>
      <w:proofErr w:type="gramEnd"/>
      <w:r w:rsidR="00ED4F2F">
        <w:rPr>
          <w:rFonts w:ascii="Times New Roman" w:hAnsi="Times New Roman" w:cs="Times New Roman"/>
          <w:sz w:val="28"/>
          <w:szCs w:val="28"/>
        </w:rPr>
        <w:t xml:space="preserve"> без внимания, на все направлены письменные исчерпывающие ответы, даны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этого, уже готовится письменный ответ.</w:t>
      </w:r>
    </w:p>
    <w:p w:rsidR="00397A67" w:rsidRPr="002A0D8C" w:rsidRDefault="00D75499" w:rsidP="00ED4F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с обращениями граждан рассматриваются на аппаратных совещаниях, проводимых при главе муниципального района, еженедельно на планёрное совещание при главе муниципального района предоставляется информация о состоянии дел по работе с обращениями граждан.</w:t>
      </w:r>
    </w:p>
    <w:sectPr w:rsidR="00397A67" w:rsidRPr="002A0D8C" w:rsidSect="009C20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0E63"/>
    <w:rsid w:val="00064D62"/>
    <w:rsid w:val="00064EDF"/>
    <w:rsid w:val="000668DC"/>
    <w:rsid w:val="00085E7E"/>
    <w:rsid w:val="00091ECC"/>
    <w:rsid w:val="000D3849"/>
    <w:rsid w:val="000F13E9"/>
    <w:rsid w:val="00102F47"/>
    <w:rsid w:val="00132420"/>
    <w:rsid w:val="00147848"/>
    <w:rsid w:val="0015207D"/>
    <w:rsid w:val="00163139"/>
    <w:rsid w:val="001652AE"/>
    <w:rsid w:val="001905C6"/>
    <w:rsid w:val="00192DEE"/>
    <w:rsid w:val="001A0ED0"/>
    <w:rsid w:val="001D46C0"/>
    <w:rsid w:val="001E3671"/>
    <w:rsid w:val="002114B8"/>
    <w:rsid w:val="00217943"/>
    <w:rsid w:val="002440AA"/>
    <w:rsid w:val="0025000B"/>
    <w:rsid w:val="0028098D"/>
    <w:rsid w:val="002A0D8C"/>
    <w:rsid w:val="002A4E4C"/>
    <w:rsid w:val="00302C9E"/>
    <w:rsid w:val="003041CE"/>
    <w:rsid w:val="00311DD7"/>
    <w:rsid w:val="003639E6"/>
    <w:rsid w:val="00365A62"/>
    <w:rsid w:val="003749ED"/>
    <w:rsid w:val="00397A67"/>
    <w:rsid w:val="00397F09"/>
    <w:rsid w:val="003C44B2"/>
    <w:rsid w:val="003C55DB"/>
    <w:rsid w:val="003E74A8"/>
    <w:rsid w:val="003F0E58"/>
    <w:rsid w:val="003F1449"/>
    <w:rsid w:val="00400CEA"/>
    <w:rsid w:val="00401ABB"/>
    <w:rsid w:val="00405D7F"/>
    <w:rsid w:val="00474F62"/>
    <w:rsid w:val="00475F31"/>
    <w:rsid w:val="00480EC1"/>
    <w:rsid w:val="00482EA4"/>
    <w:rsid w:val="004904A0"/>
    <w:rsid w:val="004B24C1"/>
    <w:rsid w:val="004D7E1D"/>
    <w:rsid w:val="004E3013"/>
    <w:rsid w:val="004E640F"/>
    <w:rsid w:val="004F5601"/>
    <w:rsid w:val="00502A42"/>
    <w:rsid w:val="005040F8"/>
    <w:rsid w:val="0051461A"/>
    <w:rsid w:val="005203BB"/>
    <w:rsid w:val="00536B75"/>
    <w:rsid w:val="00551032"/>
    <w:rsid w:val="00577266"/>
    <w:rsid w:val="00580708"/>
    <w:rsid w:val="005876CE"/>
    <w:rsid w:val="00591700"/>
    <w:rsid w:val="005B354A"/>
    <w:rsid w:val="005B41F5"/>
    <w:rsid w:val="005E49F1"/>
    <w:rsid w:val="005E4B2A"/>
    <w:rsid w:val="0062435D"/>
    <w:rsid w:val="00664568"/>
    <w:rsid w:val="006A481F"/>
    <w:rsid w:val="006A643F"/>
    <w:rsid w:val="006B675A"/>
    <w:rsid w:val="006D03A7"/>
    <w:rsid w:val="006D355C"/>
    <w:rsid w:val="006F2991"/>
    <w:rsid w:val="0070146D"/>
    <w:rsid w:val="007168C5"/>
    <w:rsid w:val="00735F36"/>
    <w:rsid w:val="0074002B"/>
    <w:rsid w:val="00773D99"/>
    <w:rsid w:val="007A6A49"/>
    <w:rsid w:val="007A7E18"/>
    <w:rsid w:val="007B2CC3"/>
    <w:rsid w:val="007C0A52"/>
    <w:rsid w:val="007C0E63"/>
    <w:rsid w:val="007C2A03"/>
    <w:rsid w:val="007F2F2F"/>
    <w:rsid w:val="007F4ED5"/>
    <w:rsid w:val="00800C14"/>
    <w:rsid w:val="008606E3"/>
    <w:rsid w:val="00867595"/>
    <w:rsid w:val="00875C7E"/>
    <w:rsid w:val="008A4351"/>
    <w:rsid w:val="008B1CEA"/>
    <w:rsid w:val="008E5E6D"/>
    <w:rsid w:val="008F76F5"/>
    <w:rsid w:val="0093423D"/>
    <w:rsid w:val="00942EA2"/>
    <w:rsid w:val="00961E72"/>
    <w:rsid w:val="009C20DD"/>
    <w:rsid w:val="00A16A05"/>
    <w:rsid w:val="00A25F5E"/>
    <w:rsid w:val="00A33A25"/>
    <w:rsid w:val="00A70FCC"/>
    <w:rsid w:val="00A96C1B"/>
    <w:rsid w:val="00A96FDF"/>
    <w:rsid w:val="00AA4D02"/>
    <w:rsid w:val="00B1258E"/>
    <w:rsid w:val="00B43703"/>
    <w:rsid w:val="00B620DC"/>
    <w:rsid w:val="00B6280B"/>
    <w:rsid w:val="00B634BF"/>
    <w:rsid w:val="00B75466"/>
    <w:rsid w:val="00BC4B60"/>
    <w:rsid w:val="00BD3BF0"/>
    <w:rsid w:val="00BE09C6"/>
    <w:rsid w:val="00C02C76"/>
    <w:rsid w:val="00C11FCD"/>
    <w:rsid w:val="00C70539"/>
    <w:rsid w:val="00C979E1"/>
    <w:rsid w:val="00CB3479"/>
    <w:rsid w:val="00CC6F5F"/>
    <w:rsid w:val="00CE2037"/>
    <w:rsid w:val="00D55C74"/>
    <w:rsid w:val="00D60309"/>
    <w:rsid w:val="00D64B56"/>
    <w:rsid w:val="00D738CC"/>
    <w:rsid w:val="00D75499"/>
    <w:rsid w:val="00D82ADA"/>
    <w:rsid w:val="00DA6A70"/>
    <w:rsid w:val="00DD3225"/>
    <w:rsid w:val="00E52867"/>
    <w:rsid w:val="00E56894"/>
    <w:rsid w:val="00E5712F"/>
    <w:rsid w:val="00E7125C"/>
    <w:rsid w:val="00E77D27"/>
    <w:rsid w:val="00E82109"/>
    <w:rsid w:val="00E825E5"/>
    <w:rsid w:val="00E870B6"/>
    <w:rsid w:val="00E97EB2"/>
    <w:rsid w:val="00EB1A9B"/>
    <w:rsid w:val="00ED4F2F"/>
    <w:rsid w:val="00EE7520"/>
    <w:rsid w:val="00EF22B0"/>
    <w:rsid w:val="00F23B71"/>
    <w:rsid w:val="00F41906"/>
    <w:rsid w:val="00F60489"/>
    <w:rsid w:val="00F82856"/>
    <w:rsid w:val="00F86B1B"/>
    <w:rsid w:val="00F9428B"/>
    <w:rsid w:val="00FC2454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E"/>
  </w:style>
  <w:style w:type="paragraph" w:styleId="1">
    <w:name w:val="heading 1"/>
    <w:basedOn w:val="a"/>
    <w:next w:val="a"/>
    <w:link w:val="10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9393939393939603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74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dLbls>
            <c:dLbl>
              <c:idx val="0"/>
              <c:layout>
                <c:manualLayout>
                  <c:x val="5.697939874918141E-17"/>
                  <c:y val="0.38383838383838592"/>
                </c:manualLayout>
              </c:layout>
              <c:dLblPos val="outEnd"/>
              <c:showVal val="1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dLblPos val="outEnd"/>
              <c:showVal val="1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gapWidth val="95"/>
        <c:overlap val="-43"/>
        <c:axId val="89033344"/>
        <c:axId val="89039232"/>
      </c:barChart>
      <c:catAx>
        <c:axId val="89033344"/>
        <c:scaling>
          <c:orientation val="minMax"/>
        </c:scaling>
        <c:axPos val="b"/>
        <c:numFmt formatCode="General" sourceLinked="1"/>
        <c:tickLblPos val="nextTo"/>
        <c:crossAx val="89039232"/>
        <c:crosses val="autoZero"/>
        <c:auto val="1"/>
        <c:lblAlgn val="ctr"/>
        <c:lblOffset val="100"/>
      </c:catAx>
      <c:valAx>
        <c:axId val="89039232"/>
        <c:scaling>
          <c:orientation val="minMax"/>
        </c:scaling>
        <c:axPos val="l"/>
        <c:majorGridlines/>
        <c:numFmt formatCode="General" sourceLinked="1"/>
        <c:tickLblPos val="nextTo"/>
        <c:crossAx val="8903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78588807785889"/>
          <c:y val="0.20408163265306123"/>
          <c:w val="0.17274939172749557"/>
          <c:h val="0.73469387755102455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14AB-3A48-4F3E-8DB5-0BA952DF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2013-07-17T00:18:00Z</cp:lastPrinted>
  <dcterms:created xsi:type="dcterms:W3CDTF">2013-02-04T03:30:00Z</dcterms:created>
  <dcterms:modified xsi:type="dcterms:W3CDTF">2013-07-17T01:55:00Z</dcterms:modified>
</cp:coreProperties>
</file>